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2A" w:rsidRDefault="00E80121">
      <w:r>
        <w:rPr>
          <w:noProof/>
          <w:lang w:eastAsia="ru-RU"/>
        </w:rPr>
        <w:drawing>
          <wp:inline distT="0" distB="0" distL="0" distR="0" wp14:anchorId="49373D5F" wp14:editId="6D385A33">
            <wp:extent cx="5940425" cy="812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21" w:rsidRPr="00AC51A9" w:rsidRDefault="00E80121" w:rsidP="00E80121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proofErr w:type="spellStart"/>
      <w:r w:rsidRPr="00AC51A9">
        <w:rPr>
          <w:rFonts w:ascii="Arial" w:hAnsi="Arial" w:cs="Arial"/>
          <w:color w:val="202124"/>
          <w:sz w:val="32"/>
          <w:szCs w:val="32"/>
          <w:shd w:val="clear" w:color="auto" w:fill="FFFFFF"/>
        </w:rPr>
        <w:t>Гидроксиэтилцеллюлоза</w:t>
      </w:r>
      <w:proofErr w:type="spellEnd"/>
    </w:p>
    <w:p w:rsidR="00E80121" w:rsidRPr="00116AC2" w:rsidRDefault="00BE57BD" w:rsidP="00E80121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HEC</w:t>
      </w:r>
      <w:r w:rsidR="008651D6">
        <w:rPr>
          <w:rFonts w:ascii="Arial" w:hAnsi="Arial" w:cs="Arial"/>
          <w:color w:val="202124"/>
          <w:sz w:val="32"/>
          <w:szCs w:val="32"/>
          <w:shd w:val="clear" w:color="auto" w:fill="FFFFFF"/>
        </w:rPr>
        <w:t>-10</w:t>
      </w:r>
      <w:r w:rsidR="00E80121" w:rsidRPr="00116AC2">
        <w:rPr>
          <w:rFonts w:ascii="Arial" w:hAnsi="Arial" w:cs="Arial"/>
          <w:color w:val="202124"/>
          <w:sz w:val="32"/>
          <w:szCs w:val="32"/>
          <w:shd w:val="clear" w:color="auto" w:fill="FFFFFF"/>
        </w:rPr>
        <w:t>0</w:t>
      </w:r>
      <w:r w:rsidR="007745A1">
        <w:rPr>
          <w:rFonts w:ascii="Arial" w:hAnsi="Arial" w:cs="Arial"/>
          <w:color w:val="202124"/>
          <w:sz w:val="32"/>
          <w:szCs w:val="32"/>
          <w:shd w:val="clear" w:color="auto" w:fill="FFFFFF"/>
        </w:rPr>
        <w:t>0</w:t>
      </w:r>
      <w:r w:rsidR="00E80121" w:rsidRPr="00116AC2">
        <w:rPr>
          <w:rFonts w:ascii="Arial" w:hAnsi="Arial" w:cs="Arial"/>
          <w:color w:val="202124"/>
          <w:sz w:val="32"/>
          <w:szCs w:val="32"/>
          <w:shd w:val="clear" w:color="auto" w:fill="FFFFFF"/>
        </w:rPr>
        <w:t>00</w:t>
      </w:r>
      <w:r w:rsidR="00E80121" w:rsidRPr="00AC51A9"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E</w:t>
      </w:r>
    </w:p>
    <w:p w:rsidR="00E80121" w:rsidRPr="00AC51A9" w:rsidRDefault="00E80121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Описание продукта:</w:t>
      </w:r>
    </w:p>
    <w:p w:rsidR="00E80121" w:rsidRPr="00AC51A9" w:rsidRDefault="00E80121" w:rsidP="00E80121">
      <w:pPr>
        <w:rPr>
          <w:rFonts w:ascii="Arial" w:hAnsi="Arial" w:cs="Arial"/>
        </w:rPr>
      </w:pPr>
      <w:r w:rsidRPr="00AC51A9">
        <w:rPr>
          <w:rFonts w:ascii="Arial" w:hAnsi="Arial" w:cs="Arial"/>
          <w:lang w:val="en-US"/>
        </w:rPr>
        <w:t>HEC</w:t>
      </w:r>
      <w:r w:rsidR="008651D6">
        <w:rPr>
          <w:rFonts w:ascii="Arial" w:hAnsi="Arial" w:cs="Arial"/>
        </w:rPr>
        <w:t>-10</w:t>
      </w:r>
      <w:r w:rsidRPr="00AC51A9">
        <w:rPr>
          <w:rFonts w:ascii="Arial" w:hAnsi="Arial" w:cs="Arial"/>
        </w:rPr>
        <w:t>0000</w:t>
      </w:r>
      <w:r w:rsidRPr="00AC51A9">
        <w:rPr>
          <w:rFonts w:ascii="Arial" w:hAnsi="Arial" w:cs="Arial"/>
          <w:lang w:val="en-US"/>
        </w:rPr>
        <w:t>E</w:t>
      </w:r>
      <w:r w:rsidRPr="00AC51A9">
        <w:rPr>
          <w:rFonts w:ascii="Arial" w:hAnsi="Arial" w:cs="Arial"/>
        </w:rPr>
        <w:t xml:space="preserve"> представляет собой неионогенный эфир целлюлозы. Легко </w:t>
      </w:r>
      <w:proofErr w:type="spellStart"/>
      <w:r w:rsidRPr="00AC51A9">
        <w:rPr>
          <w:rFonts w:ascii="Arial" w:hAnsi="Arial" w:cs="Arial"/>
        </w:rPr>
        <w:t>диспергируется</w:t>
      </w:r>
      <w:proofErr w:type="spellEnd"/>
      <w:r w:rsidRPr="00AC51A9">
        <w:rPr>
          <w:rFonts w:ascii="Arial" w:hAnsi="Arial" w:cs="Arial"/>
        </w:rPr>
        <w:t xml:space="preserve"> и растворяется в воде, образуя раствор высокой вязкости. Это устойчивый к ферментам сорт, используемый в качестве модификатора вязкости и реологии, защитного коллоида, водоудерживающего агента, а также стабилизатора и </w:t>
      </w:r>
      <w:proofErr w:type="spellStart"/>
      <w:r w:rsidRPr="00AC51A9">
        <w:rPr>
          <w:rFonts w:ascii="Arial" w:hAnsi="Arial" w:cs="Arial"/>
        </w:rPr>
        <w:t>суспендирующего</w:t>
      </w:r>
      <w:proofErr w:type="spellEnd"/>
      <w:r w:rsidRPr="00AC51A9">
        <w:rPr>
          <w:rFonts w:ascii="Arial" w:hAnsi="Arial" w:cs="Arial"/>
        </w:rPr>
        <w:t xml:space="preserve"> агента, особенно в тех случаях, когда желателен неионогенный материал. Продукт имеет более высокую и равномерную степень замещения, улучшенную устойчивость к ферментам.</w:t>
      </w:r>
    </w:p>
    <w:p w:rsidR="00E80121" w:rsidRPr="00AC51A9" w:rsidRDefault="00E80121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Физические и химические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Внешний вид</w:t>
            </w:r>
          </w:p>
        </w:tc>
        <w:tc>
          <w:tcPr>
            <w:tcW w:w="4673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Белый или светлый порошок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Влажность (%)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Макс. 6.0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Потеря при сушке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≤5.0%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рН</w:t>
            </w:r>
          </w:p>
        </w:tc>
        <w:tc>
          <w:tcPr>
            <w:tcW w:w="4673" w:type="dxa"/>
          </w:tcPr>
          <w:p w:rsidR="00E80121" w:rsidRPr="00AC51A9" w:rsidRDefault="00BE57BD" w:rsidP="00E80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6.0-8.5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Размер частиц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Мин. 92% через сито 80 меш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Объемная плотность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0.30-0.50 г/мл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 xml:space="preserve">Вязкость по </w:t>
            </w:r>
            <w:proofErr w:type="spellStart"/>
            <w:r w:rsidRPr="00AC51A9">
              <w:rPr>
                <w:rFonts w:ascii="Arial" w:hAnsi="Arial" w:cs="Arial"/>
              </w:rPr>
              <w:t>Брукфилду</w:t>
            </w:r>
            <w:proofErr w:type="spellEnd"/>
            <w:r w:rsidRPr="00AC51A9">
              <w:rPr>
                <w:rFonts w:ascii="Arial" w:hAnsi="Arial" w:cs="Arial"/>
              </w:rPr>
              <w:t xml:space="preserve"> 1% раствор, 25ºC </w:t>
            </w:r>
          </w:p>
        </w:tc>
        <w:tc>
          <w:tcPr>
            <w:tcW w:w="4673" w:type="dxa"/>
          </w:tcPr>
          <w:p w:rsidR="00E80121" w:rsidRPr="00AC51A9" w:rsidRDefault="008651D6" w:rsidP="00E80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3,300 – 6</w:t>
            </w:r>
            <w:r w:rsidR="00D92216" w:rsidRPr="00AC51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D92216" w:rsidRPr="00AC51A9">
              <w:rPr>
                <w:rFonts w:ascii="Arial" w:hAnsi="Arial" w:cs="Arial"/>
              </w:rPr>
              <w:t>00 мПа*с</w:t>
            </w:r>
          </w:p>
        </w:tc>
      </w:tr>
    </w:tbl>
    <w:p w:rsidR="00E80121" w:rsidRPr="00AC51A9" w:rsidRDefault="00E80121" w:rsidP="00E80121">
      <w:pPr>
        <w:rPr>
          <w:rFonts w:ascii="Arial" w:hAnsi="Arial" w:cs="Arial"/>
        </w:rPr>
      </w:pPr>
    </w:p>
    <w:p w:rsidR="00D92216" w:rsidRPr="00AC51A9" w:rsidRDefault="00D92216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Применение</w:t>
      </w:r>
    </w:p>
    <w:p w:rsidR="00DB4688" w:rsidRDefault="008651D6" w:rsidP="00DB4688">
      <w:pPr>
        <w:rPr>
          <w:rFonts w:ascii="Arial" w:hAnsi="Arial" w:cs="Arial"/>
        </w:rPr>
      </w:pPr>
      <w:r>
        <w:rPr>
          <w:rFonts w:ascii="Arial" w:hAnsi="Arial" w:cs="Arial"/>
        </w:rPr>
        <w:t>HEC-10</w:t>
      </w:r>
      <w:r w:rsidR="00DB4688" w:rsidRPr="00AC51A9">
        <w:rPr>
          <w:rFonts w:ascii="Arial" w:hAnsi="Arial" w:cs="Arial"/>
        </w:rPr>
        <w:t xml:space="preserve">0000E рекомендуется в качестве загустителя в ЛКМ на водной основе. Материал обеспечивает эффективное </w:t>
      </w:r>
      <w:proofErr w:type="spellStart"/>
      <w:r w:rsidR="00DB4688" w:rsidRPr="00AC51A9">
        <w:rPr>
          <w:rFonts w:ascii="Arial" w:hAnsi="Arial" w:cs="Arial"/>
        </w:rPr>
        <w:t>загущение</w:t>
      </w:r>
      <w:proofErr w:type="spellEnd"/>
      <w:r w:rsidR="00DB4688" w:rsidRPr="00AC51A9">
        <w:rPr>
          <w:rFonts w:ascii="Arial" w:hAnsi="Arial" w:cs="Arial"/>
        </w:rPr>
        <w:t xml:space="preserve">, формирование цвета, открытое время и превосходную стойкость к </w:t>
      </w:r>
      <w:proofErr w:type="spellStart"/>
      <w:r w:rsidR="00DB4688" w:rsidRPr="00AC51A9">
        <w:rPr>
          <w:rFonts w:ascii="Arial" w:hAnsi="Arial" w:cs="Arial"/>
        </w:rPr>
        <w:t>биоразложению</w:t>
      </w:r>
      <w:proofErr w:type="spellEnd"/>
      <w:r w:rsidR="00DB4688" w:rsidRPr="00AC51A9">
        <w:rPr>
          <w:rFonts w:ascii="Arial" w:hAnsi="Arial" w:cs="Arial"/>
        </w:rPr>
        <w:t xml:space="preserve">. </w:t>
      </w:r>
      <w:r w:rsidR="00116AC2" w:rsidRPr="00116AC2">
        <w:rPr>
          <w:rFonts w:ascii="Arial" w:hAnsi="Arial" w:cs="Arial"/>
        </w:rPr>
        <w:t>Он также играет важную роль в эмульгировании, диспергировании,</w:t>
      </w:r>
      <w:r w:rsidR="00116AC2">
        <w:rPr>
          <w:rFonts w:ascii="Arial" w:hAnsi="Arial" w:cs="Arial"/>
        </w:rPr>
        <w:t xml:space="preserve"> стабильности и удержании влаги. </w:t>
      </w:r>
      <w:r w:rsidR="00093DFB" w:rsidRPr="00AC51A9">
        <w:rPr>
          <w:rFonts w:ascii="Arial" w:hAnsi="Arial" w:cs="Arial"/>
        </w:rPr>
        <w:t>Обеспечивает</w:t>
      </w:r>
      <w:r w:rsidR="00DB4688" w:rsidRPr="00AC51A9">
        <w:rPr>
          <w:rFonts w:ascii="Arial" w:hAnsi="Arial" w:cs="Arial"/>
        </w:rPr>
        <w:t xml:space="preserve"> хорошие реологические свойства при различных скоростях сдвига, </w:t>
      </w:r>
      <w:r w:rsidR="00093DFB" w:rsidRPr="00AC51A9">
        <w:rPr>
          <w:rFonts w:ascii="Arial" w:hAnsi="Arial" w:cs="Arial"/>
        </w:rPr>
        <w:t>легкость нанесения и однородность, устойчивость к разбрызгиванию</w:t>
      </w:r>
      <w:r w:rsidR="00DB4688" w:rsidRPr="00AC51A9">
        <w:rPr>
          <w:rFonts w:ascii="Arial" w:hAnsi="Arial" w:cs="Arial"/>
        </w:rPr>
        <w:t xml:space="preserve"> и потекам.</w:t>
      </w:r>
    </w:p>
    <w:p w:rsidR="008651D6" w:rsidRPr="00AC51A9" w:rsidRDefault="008651D6" w:rsidP="00DB4688">
      <w:pPr>
        <w:rPr>
          <w:rFonts w:ascii="Arial" w:hAnsi="Arial" w:cs="Arial"/>
        </w:rPr>
      </w:pPr>
      <w:r>
        <w:rPr>
          <w:rFonts w:ascii="Arial" w:hAnsi="Arial" w:cs="Arial"/>
        </w:rPr>
        <w:t>Рекомендуемая дозировка – 0,5-1% от общей массы</w:t>
      </w:r>
    </w:p>
    <w:p w:rsidR="00DB4688" w:rsidRPr="00AC51A9" w:rsidRDefault="00DB4688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Упаковка</w:t>
      </w:r>
    </w:p>
    <w:p w:rsidR="00DB4688" w:rsidRPr="00AC51A9" w:rsidRDefault="00DB4688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Бумажные мешки по 25 кг с полиэтиленовым вкладышем.</w:t>
      </w:r>
    </w:p>
    <w:p w:rsidR="00DB4688" w:rsidRPr="00AC51A9" w:rsidRDefault="00093DFB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20’FCL: 15 тонн с паллетами или 18 тонн без паллет</w:t>
      </w:r>
      <w:r w:rsidR="00DB4688" w:rsidRPr="00AC51A9">
        <w:rPr>
          <w:rFonts w:ascii="Arial" w:hAnsi="Arial" w:cs="Arial"/>
        </w:rPr>
        <w:t>.</w:t>
      </w:r>
    </w:p>
    <w:p w:rsidR="00DB4688" w:rsidRPr="00116AC2" w:rsidRDefault="00093DFB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Условия и срок хранения</w:t>
      </w:r>
    </w:p>
    <w:p w:rsidR="00DB4688" w:rsidRPr="00AC51A9" w:rsidRDefault="00DB4688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3 года в прохладных, сухих условиях в оригинальной упаковке вдали от источников тепла. Рекомендуется использовать продукт</w:t>
      </w:r>
      <w:r w:rsidR="00BE57BD">
        <w:rPr>
          <w:rFonts w:ascii="Arial" w:hAnsi="Arial" w:cs="Arial"/>
        </w:rPr>
        <w:t>, соблюдая очередность</w:t>
      </w:r>
      <w:r w:rsidRPr="00AC51A9">
        <w:rPr>
          <w:rFonts w:ascii="Arial" w:hAnsi="Arial" w:cs="Arial"/>
        </w:rPr>
        <w:t xml:space="preserve"> </w:t>
      </w:r>
      <w:r w:rsidR="00BE57BD">
        <w:rPr>
          <w:rFonts w:ascii="Arial" w:hAnsi="Arial" w:cs="Arial"/>
        </w:rPr>
        <w:t>«</w:t>
      </w:r>
      <w:r w:rsidR="007574B7" w:rsidRPr="00AC51A9">
        <w:rPr>
          <w:rFonts w:ascii="Arial" w:hAnsi="Arial" w:cs="Arial"/>
        </w:rPr>
        <w:t>в порядке поступления</w:t>
      </w:r>
      <w:r w:rsidR="00BE57BD">
        <w:rPr>
          <w:rFonts w:ascii="Arial" w:hAnsi="Arial" w:cs="Arial"/>
        </w:rPr>
        <w:t>»</w:t>
      </w:r>
      <w:r w:rsidRPr="00AC51A9">
        <w:rPr>
          <w:rFonts w:ascii="Arial" w:hAnsi="Arial" w:cs="Arial"/>
        </w:rPr>
        <w:t>.</w:t>
      </w:r>
    </w:p>
    <w:p w:rsidR="00DB4688" w:rsidRPr="00AC51A9" w:rsidRDefault="00DB4688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Здоровье и безопасность</w:t>
      </w:r>
    </w:p>
    <w:p w:rsidR="00DB4688" w:rsidRPr="00AC51A9" w:rsidRDefault="00DB4688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См. отдельный паспорт безопасности материала.</w:t>
      </w:r>
    </w:p>
    <w:p w:rsidR="00DB4688" w:rsidRPr="00AC51A9" w:rsidRDefault="00DB4688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Н</w:t>
      </w:r>
      <w:r w:rsidR="007574B7" w:rsidRPr="00AC51A9">
        <w:rPr>
          <w:rFonts w:ascii="Arial" w:hAnsi="Arial" w:cs="Arial"/>
        </w:rPr>
        <w:t>аименование</w:t>
      </w:r>
      <w:r w:rsidRPr="00AC51A9">
        <w:rPr>
          <w:rFonts w:ascii="Arial" w:hAnsi="Arial" w:cs="Arial"/>
        </w:rPr>
        <w:t xml:space="preserve"> CAS: HEC</w:t>
      </w:r>
      <w:r w:rsidR="004C0AB7">
        <w:rPr>
          <w:rFonts w:ascii="Arial" w:hAnsi="Arial" w:cs="Arial"/>
        </w:rPr>
        <w:t xml:space="preserve"> (ГЭЦ)</w:t>
      </w:r>
    </w:p>
    <w:p w:rsidR="00D92216" w:rsidRPr="00AC51A9" w:rsidRDefault="007574B7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 xml:space="preserve">Номер </w:t>
      </w:r>
      <w:r w:rsidRPr="00AC51A9">
        <w:rPr>
          <w:rFonts w:ascii="Arial" w:hAnsi="Arial" w:cs="Arial"/>
          <w:lang w:val="en-US"/>
        </w:rPr>
        <w:t>CAS</w:t>
      </w:r>
      <w:r w:rsidR="00C5755E">
        <w:rPr>
          <w:rFonts w:ascii="Arial" w:hAnsi="Arial" w:cs="Arial"/>
        </w:rPr>
        <w:t>: 9032-42-2</w:t>
      </w:r>
      <w:bookmarkStart w:id="0" w:name="_GoBack"/>
      <w:bookmarkEnd w:id="0"/>
    </w:p>
    <w:p w:rsidR="00AC51A9" w:rsidRPr="00AC51A9" w:rsidRDefault="00AC51A9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Таможенный код: 391239</w:t>
      </w:r>
    </w:p>
    <w:p w:rsidR="00AC51A9" w:rsidRPr="00AC51A9" w:rsidRDefault="00AC51A9" w:rsidP="00AC51A9">
      <w:pPr>
        <w:spacing w:after="0"/>
        <w:jc w:val="center"/>
        <w:rPr>
          <w:rFonts w:ascii="Arial" w:hAnsi="Arial" w:cs="Arial"/>
          <w:color w:val="0000FF"/>
          <w:u w:val="single"/>
        </w:rPr>
      </w:pPr>
      <w:r w:rsidRPr="00AC51A9">
        <w:rPr>
          <w:rFonts w:ascii="Arial" w:hAnsi="Arial" w:cs="Arial"/>
          <w:color w:val="0000FF"/>
          <w:u w:val="single"/>
        </w:rPr>
        <w:t>www.sidleychem.com</w:t>
      </w:r>
    </w:p>
    <w:sectPr w:rsidR="00AC51A9" w:rsidRPr="00AC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82"/>
    <w:rsid w:val="00042482"/>
    <w:rsid w:val="00093DFB"/>
    <w:rsid w:val="00116AC2"/>
    <w:rsid w:val="004C0AB7"/>
    <w:rsid w:val="004E583C"/>
    <w:rsid w:val="00627336"/>
    <w:rsid w:val="00653469"/>
    <w:rsid w:val="007574B7"/>
    <w:rsid w:val="007745A1"/>
    <w:rsid w:val="007A1581"/>
    <w:rsid w:val="008651D6"/>
    <w:rsid w:val="00AC51A9"/>
    <w:rsid w:val="00BE57BD"/>
    <w:rsid w:val="00C5755E"/>
    <w:rsid w:val="00D92216"/>
    <w:rsid w:val="00DB4688"/>
    <w:rsid w:val="00E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34A1-ED0B-4D6D-9097-09E2563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Бочарникова</dc:creator>
  <cp:keywords/>
  <dc:description/>
  <cp:lastModifiedBy>Анастасия  Бочарникова</cp:lastModifiedBy>
  <cp:revision>4</cp:revision>
  <dcterms:created xsi:type="dcterms:W3CDTF">2022-03-30T12:04:00Z</dcterms:created>
  <dcterms:modified xsi:type="dcterms:W3CDTF">2022-03-30T12:06:00Z</dcterms:modified>
</cp:coreProperties>
</file>